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89" w:rsidRDefault="00F43089" w:rsidP="00F43089">
      <w:pPr>
        <w:spacing w:line="360" w:lineRule="auto"/>
        <w:jc w:val="right"/>
      </w:pPr>
      <w:r>
        <w:t>Augustów, dn. 15 lipca 2015 r.</w:t>
      </w:r>
    </w:p>
    <w:p w:rsidR="00F43089" w:rsidRDefault="00F43089" w:rsidP="00F43089">
      <w:pPr>
        <w:spacing w:line="360" w:lineRule="auto"/>
      </w:pPr>
    </w:p>
    <w:p w:rsidR="00F43089" w:rsidRDefault="00F43089" w:rsidP="00F43089">
      <w:pPr>
        <w:spacing w:line="360" w:lineRule="auto"/>
        <w:jc w:val="both"/>
        <w:rPr>
          <w:u w:val="single"/>
        </w:rPr>
      </w:pPr>
      <w:r>
        <w:rPr>
          <w:u w:val="single"/>
        </w:rPr>
        <w:t>Dotyczy: przetargu nieograniczonego na dostawę na potrzeby SPZOZ w Augustowie gazów medycznych znak : 15/ZP/2015</w:t>
      </w:r>
    </w:p>
    <w:p w:rsidR="00F43089" w:rsidRDefault="00F43089" w:rsidP="00F43089">
      <w:pPr>
        <w:spacing w:line="360" w:lineRule="auto"/>
        <w:jc w:val="both"/>
        <w:rPr>
          <w:u w:val="single"/>
        </w:rPr>
      </w:pPr>
    </w:p>
    <w:p w:rsidR="00F43089" w:rsidRDefault="00F43089" w:rsidP="00F43089">
      <w:pPr>
        <w:spacing w:line="360" w:lineRule="auto"/>
        <w:ind w:firstLine="708"/>
        <w:jc w:val="both"/>
      </w:pPr>
      <w:r>
        <w:t>Samodzielny Publiczny Zakład Opieki Zdrowotnej w Augustowie odpowiadając na pytania oferentów wyjaśnia co następuje :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43089" w:rsidRDefault="00F43089" w:rsidP="00F43089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Pytanie nr 1</w:t>
      </w:r>
    </w:p>
    <w:p w:rsidR="00F43089" w:rsidRDefault="00F43089" w:rsidP="00F43089">
      <w:pPr>
        <w:pStyle w:val="Default"/>
        <w:spacing w:line="360" w:lineRule="auto"/>
        <w:jc w:val="both"/>
        <w:rPr>
          <w:rFonts w:ascii="Tahoma" w:eastAsia="TimesNewRomanPSMT" w:hAnsi="Tahoma" w:cs="Tahoma"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 xml:space="preserve">Wnoszący zapytanie Wykonawca zwraca się z prośbą o możliwość dopuszczenia dostawy gazu medycznego </w:t>
      </w:r>
      <w:r>
        <w:rPr>
          <w:rFonts w:ascii="Tahoma" w:hAnsi="Tahoma" w:cs="Tahoma"/>
          <w:bCs/>
          <w:iCs/>
          <w:color w:val="auto"/>
          <w:sz w:val="20"/>
          <w:szCs w:val="20"/>
        </w:rPr>
        <w:t xml:space="preserve">sprężonego: podtlenku azotu 50% v/v i tlenu 50% </w:t>
      </w:r>
      <w:r>
        <w:rPr>
          <w:rFonts w:ascii="Tahoma" w:eastAsia="TimesNewRomanPSMT" w:hAnsi="Tahoma" w:cs="Tahoma"/>
          <w:color w:val="auto"/>
          <w:sz w:val="20"/>
          <w:szCs w:val="20"/>
        </w:rPr>
        <w:t xml:space="preserve">w butlach o pojemności </w:t>
      </w:r>
    </w:p>
    <w:p w:rsidR="00F43089" w:rsidRDefault="00F43089" w:rsidP="00F43089">
      <w:pPr>
        <w:pStyle w:val="Default"/>
        <w:spacing w:line="360" w:lineRule="auto"/>
        <w:jc w:val="both"/>
        <w:rPr>
          <w:rFonts w:ascii="Tahoma" w:eastAsia="TimesNewRomanPSMT" w:hAnsi="Tahoma" w:cs="Tahoma"/>
          <w:color w:val="auto"/>
          <w:sz w:val="20"/>
          <w:szCs w:val="20"/>
          <w:u w:val="single"/>
        </w:rPr>
      </w:pPr>
      <w:r>
        <w:rPr>
          <w:rFonts w:ascii="Tahoma" w:eastAsia="TimesNewRomanPSMT" w:hAnsi="Tahoma" w:cs="Tahoma"/>
          <w:b/>
          <w:color w:val="auto"/>
          <w:sz w:val="20"/>
          <w:szCs w:val="20"/>
          <w:u w:val="single"/>
        </w:rPr>
        <w:t>11 litrów (3,23 m</w:t>
      </w:r>
      <w:r>
        <w:rPr>
          <w:rFonts w:ascii="Tahoma" w:eastAsia="TimesNewRomanPSMT" w:hAnsi="Tahoma" w:cs="Tahoma"/>
          <w:b/>
          <w:color w:val="auto"/>
          <w:sz w:val="20"/>
          <w:szCs w:val="20"/>
          <w:u w:val="single"/>
          <w:vertAlign w:val="superscript"/>
        </w:rPr>
        <w:t>3</w:t>
      </w:r>
      <w:r>
        <w:rPr>
          <w:rFonts w:ascii="Tahoma" w:eastAsia="TimesNewRomanPSMT" w:hAnsi="Tahoma" w:cs="Tahoma"/>
          <w:b/>
          <w:color w:val="auto"/>
          <w:sz w:val="20"/>
          <w:szCs w:val="20"/>
          <w:u w:val="single"/>
        </w:rPr>
        <w:t>)  oraz 5 litrów (1,47 m3)</w:t>
      </w:r>
    </w:p>
    <w:p w:rsidR="00F43089" w:rsidRDefault="00F43089" w:rsidP="00F4308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:rsidR="00F43089" w:rsidRDefault="00F43089" w:rsidP="00F4308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Zwracam się z prośbą o modyfikację  opisu przedmiotu Zamówienia i </w:t>
      </w:r>
      <w:r>
        <w:rPr>
          <w:rFonts w:ascii="Tahoma" w:hAnsi="Tahoma" w:cs="Tahoma"/>
          <w:b/>
          <w:sz w:val="20"/>
          <w:szCs w:val="20"/>
        </w:rPr>
        <w:t xml:space="preserve">umożliwienie złożenia oferty na produkt równoważny. </w:t>
      </w:r>
    </w:p>
    <w:p w:rsidR="00F43089" w:rsidRDefault="00F43089" w:rsidP="00F4308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pojęciem równoważności należy rozumieć gaz do znieczuleń o właściwościach nie gorszych niż gaz  w butlach o pojemno</w:t>
      </w:r>
      <w:r>
        <w:rPr>
          <w:rFonts w:ascii="Tahoma" w:eastAsia="TimesNewRoman" w:hAnsi="Tahoma" w:cs="Tahoma"/>
          <w:sz w:val="20"/>
          <w:szCs w:val="20"/>
        </w:rPr>
        <w:t>ś</w:t>
      </w:r>
      <w:r>
        <w:rPr>
          <w:rFonts w:ascii="Tahoma" w:hAnsi="Tahoma" w:cs="Tahoma"/>
          <w:sz w:val="20"/>
          <w:szCs w:val="20"/>
        </w:rPr>
        <w:t>ci 10 litrów 2,8 m3- lecz z zachowaniem parametru czasu podawania, który nie powinien być dłuższy niż 1 godz. z nadzorem lekarskim i bez potrzeby kontrolowania morfologii krwi.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Ponadto informuję, że cały zestaw zaworu oddechowego wraz z ustnikiem lub maską oraz filtrem antybakteryjnym do podawania mieszaniny tlenu i podtlenku azotu 50%/50% (</w:t>
      </w:r>
      <w:proofErr w:type="spellStart"/>
      <w:r>
        <w:rPr>
          <w:rFonts w:ascii="Tahoma" w:hAnsi="Tahoma" w:cs="Tahoma"/>
          <w:sz w:val="20"/>
          <w:szCs w:val="20"/>
        </w:rPr>
        <w:t>KALINOX™</w:t>
      </w:r>
      <w:proofErr w:type="spellEnd"/>
      <w:r>
        <w:rPr>
          <w:rFonts w:ascii="Tahoma" w:hAnsi="Tahoma" w:cs="Tahoma"/>
          <w:sz w:val="20"/>
          <w:szCs w:val="20"/>
        </w:rPr>
        <w:t>) jest tak skonstruowany, że uniemożliwia powrót wydychanego powietrza do zaworu dozującego.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Pytanie nr 2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Cs/>
          <w:sz w:val="20"/>
          <w:szCs w:val="20"/>
        </w:rPr>
        <w:t>Wnoszący zapytanie Wykonawca zwraca się z prośbą o</w:t>
      </w:r>
      <w:r>
        <w:rPr>
          <w:rFonts w:ascii="Tahoma" w:hAnsi="Tahoma" w:cs="Tahoma"/>
          <w:b/>
          <w:sz w:val="20"/>
          <w:szCs w:val="20"/>
        </w:rPr>
        <w:t xml:space="preserve"> konwersję jednostek miary ze sztuk na </w:t>
      </w:r>
      <w:r>
        <w:rPr>
          <w:rFonts w:ascii="Tahoma" w:hAnsi="Tahoma" w:cs="Tahoma"/>
          <w:b/>
          <w:sz w:val="20"/>
          <w:szCs w:val="20"/>
          <w:u w:val="single"/>
        </w:rPr>
        <w:t>m3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Zapotrzebowanie Zamawiającego – </w:t>
      </w:r>
      <w:r>
        <w:rPr>
          <w:rFonts w:ascii="Tahoma" w:hAnsi="Tahoma" w:cs="Tahoma"/>
          <w:b/>
          <w:sz w:val="20"/>
          <w:szCs w:val="20"/>
          <w:u w:val="single"/>
        </w:rPr>
        <w:t xml:space="preserve">24 butle x 2,8 m3 = </w:t>
      </w:r>
      <w:r>
        <w:rPr>
          <w:rFonts w:ascii="Tahoma" w:hAnsi="Tahoma" w:cs="Tahoma"/>
          <w:b/>
          <w:color w:val="FF0000"/>
          <w:sz w:val="20"/>
          <w:szCs w:val="20"/>
          <w:u w:val="single"/>
        </w:rPr>
        <w:t>67,20 m3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- w załączeniu propozycja modyfikacji Formularza cenowego w zakresie dostawy mieszanki terapeutycznej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 modyfikację formularza cenowego.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Pytanie nr 3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Wnoszący zapytanie Wykonawca zwraca się z prośbą o dopuszczenie możliwości dostawy masek do aplikowania produktu leczniczego (mieszanki tlen i podtlenek azotu 50%/50%)  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Jak wynika z kart Charakterystyki Produktu Leczniczego zatwierdzonych na rzecz przez obu Wykonawców, zarówno produkt leczniczy oferowany przez ALP o nazwie handlowej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Kalinox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jak i Linde Gaz Polska Sp. z o.o. o nazwie handlowej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Entonox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powinien być podawany przez maskę, a nie ustnik. Stosowanie maski pozwala uzyskać lepszy efekt przeciwbólowy.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Zgodnie z art. 23 ust. 2 ustawy z dnia 6 września 2001 r. - Prawo farmaceutyczne (tekst jednolity: Dz. U. 2008 r. Nr 45 poz. 271 z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późn</w:t>
      </w:r>
      <w:proofErr w:type="spellEnd"/>
      <w:r>
        <w:rPr>
          <w:rFonts w:ascii="Tahoma" w:hAnsi="Tahoma" w:cs="Tahoma"/>
          <w:b/>
          <w:i/>
          <w:sz w:val="20"/>
          <w:szCs w:val="20"/>
        </w:rPr>
        <w:t>. zm.) wydanie pozwolenia na dopuszczenie do obrotu produktu leczniczego jest równoznaczne z zatwierdzeniem Charakterystyki Produktu Leczniczego, ulotki oraz opakowań produktu leczniczego, w tym jego oznakowania, wymagań jakościowych i metod badań jakościowych produktu leczniczego oraz wymogów jakościowych dotyczących ich opakowań.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Powyższe oznacza, że do obrotu w obu przypadkach został dopuszczony produkt, który dla jego podania wymaga zgodnie z Charakterystyką Produktu Leczniczego zastosowania maski. Oferowany przez Wykonawców produkt winien być aplikowany za pomocą maski.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Mając na uwadze bezpieczeństwo i skuteczność terapii należy zwrócić uwagę, że zależy ono nie tylko od właściwie dobranego leku ale, w dużej mierze od zaworu dozującego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determinującegowłaściwości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fizyko-chemiczne podawanego wziewnie produktu jak i poprawnego stosowania urządzenia przez pacjenta.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Charakterystyka Produktu Leczniczego dopuszcza aplikowanie leku wyłącznie za pomocą masek</w:t>
      </w:r>
      <w:r>
        <w:rPr>
          <w:rFonts w:ascii="Tahoma" w:hAnsi="Tahoma" w:cs="Tahoma"/>
          <w:b/>
          <w:sz w:val="20"/>
          <w:szCs w:val="20"/>
        </w:rPr>
        <w:t>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F43089" w:rsidRDefault="00F43089" w:rsidP="00F43089">
      <w:pPr>
        <w:pStyle w:val="Default"/>
        <w:spacing w:line="36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Pytanie nr 4</w:t>
      </w:r>
    </w:p>
    <w:p w:rsidR="00F43089" w:rsidRDefault="00F43089" w:rsidP="00F43089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lastRenderedPageBreak/>
        <w:t>Mając na uwadze jakość mikrobiologiczną produktów leczniczych w świetle wymagań Farmakopei Polskiej, czy  Zamawiający wymaga dostawy filtrów antybakteryjnych o skuteczności filtracji bakteryjnej (BFE) oraz filtracji wirusowej (VFE) filtrów, odpowiednio: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− BFE – 99,999%,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− VFE – 99,999%.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43089" w:rsidRDefault="00F43089" w:rsidP="00F43089">
      <w:pPr>
        <w:pStyle w:val="Default"/>
        <w:spacing w:line="360" w:lineRule="auto"/>
        <w:jc w:val="both"/>
        <w:rPr>
          <w:rFonts w:ascii="Tahoma" w:eastAsiaTheme="minorHAnsi" w:hAnsi="Tahoma" w:cs="Tahoma"/>
          <w:color w:val="auto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Pytanie nr 5</w:t>
      </w:r>
    </w:p>
    <w:p w:rsidR="00F43089" w:rsidRDefault="00F43089" w:rsidP="00F43089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Czy zamawiający wymaga podawania produktu leczniczego (mieszanki tlen i podtlenek azotu 50%/50%) z użyciem maski, w celu uzyskania lepszego efektu przeciwbólowego?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F43089" w:rsidRDefault="00F43089" w:rsidP="00F43089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:rsidR="00F43089" w:rsidRDefault="00F43089" w:rsidP="00F43089">
      <w:pPr>
        <w:pStyle w:val="Default"/>
        <w:spacing w:line="360" w:lineRule="auto"/>
        <w:jc w:val="both"/>
        <w:rPr>
          <w:rFonts w:ascii="Tahoma" w:eastAsiaTheme="minorHAnsi" w:hAnsi="Tahoma" w:cs="Tahoma"/>
          <w:color w:val="auto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Pytanie nr 6</w:t>
      </w:r>
    </w:p>
    <w:p w:rsidR="00F43089" w:rsidRDefault="00F43089" w:rsidP="00F43089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Czy zamawiający wymaga, aby dostawca zaoferował ustniki z filtrem, będące wyrobem medycznym, które będą używane przez pacjentów, czy zawór wylotowy?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F43089" w:rsidRDefault="00F43089" w:rsidP="00F43089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:rsidR="00F43089" w:rsidRDefault="00F43089" w:rsidP="00F43089">
      <w:pPr>
        <w:pStyle w:val="Default"/>
        <w:spacing w:line="360" w:lineRule="auto"/>
        <w:jc w:val="both"/>
        <w:rPr>
          <w:rFonts w:ascii="Tahoma" w:eastAsiaTheme="minorHAnsi" w:hAnsi="Tahoma" w:cs="Tahoma"/>
          <w:color w:val="auto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Pytanie nr 7</w:t>
      </w:r>
    </w:p>
    <w:p w:rsidR="00F43089" w:rsidRDefault="00F43089" w:rsidP="00F43089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Czy zamawiający wymaga, aby wykonawca dołączył do oferty instrukcję obsługi zaworu dozującego (zaworu na żądanie)?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wymaga.</w:t>
      </w:r>
    </w:p>
    <w:p w:rsidR="00F43089" w:rsidRDefault="00F43089" w:rsidP="00F43089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F43089" w:rsidRDefault="00F43089" w:rsidP="00F43089">
      <w:pPr>
        <w:tabs>
          <w:tab w:val="left" w:pos="2268"/>
        </w:tabs>
        <w:spacing w:line="36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Zasada uczciwej konkurencji, obok zasady równego traktowania wykonawców  oraz zasady obiektywizmu, stanowią fundamentalne zasady prawa zamówień publicznych. Obowiązek przygotowania i przeprowadzenia postępowania o udzielenie zamówienia publicznego w sposób zapewniający zachowanie uczciwej konkurencji określa art. 7 ust. 1 </w:t>
      </w:r>
      <w:proofErr w:type="spellStart"/>
      <w:r>
        <w:rPr>
          <w:rFonts w:ascii="Tahoma" w:hAnsi="Tahoma" w:cs="Tahoma"/>
          <w:b/>
          <w:sz w:val="20"/>
          <w:szCs w:val="20"/>
        </w:rPr>
        <w:t>p.z.p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., rozwinięty w dalszych przepisach, w szczególności w art. 22 </w:t>
      </w:r>
      <w:r>
        <w:rPr>
          <w:rFonts w:ascii="Tahoma" w:hAnsi="Tahoma" w:cs="Tahoma"/>
          <w:b/>
          <w:sz w:val="20"/>
          <w:szCs w:val="20"/>
        </w:rPr>
        <w:lastRenderedPageBreak/>
        <w:t xml:space="preserve">ust. 2 </w:t>
      </w:r>
      <w:proofErr w:type="spellStart"/>
      <w:r>
        <w:rPr>
          <w:rFonts w:ascii="Tahoma" w:hAnsi="Tahoma" w:cs="Tahoma"/>
          <w:b/>
          <w:sz w:val="20"/>
          <w:szCs w:val="20"/>
        </w:rPr>
        <w:t>p.z.p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. zakazującym określania warunków udziału w postępowaniu w sposób, który mógłby utrudniać uczciwą konkurencję, w art. 29 ust. 2 </w:t>
      </w:r>
      <w:proofErr w:type="spellStart"/>
      <w:r>
        <w:rPr>
          <w:rFonts w:ascii="Tahoma" w:hAnsi="Tahoma" w:cs="Tahoma"/>
          <w:b/>
          <w:sz w:val="20"/>
          <w:szCs w:val="20"/>
        </w:rPr>
        <w:t>p.z.p</w:t>
      </w:r>
      <w:proofErr w:type="spellEnd"/>
      <w:r>
        <w:rPr>
          <w:rFonts w:ascii="Tahoma" w:hAnsi="Tahoma" w:cs="Tahoma"/>
          <w:b/>
          <w:sz w:val="20"/>
          <w:szCs w:val="20"/>
        </w:rPr>
        <w:t>. zakazującym opisywania przedmiotu zamówienia w sposób, który mógłby utrudniać uczciwą konkurencję, w art. 89 i 90 dotyczących treści oferty.</w:t>
      </w:r>
    </w:p>
    <w:p w:rsidR="00F43089" w:rsidRDefault="00F43089" w:rsidP="00F43089">
      <w:pPr>
        <w:tabs>
          <w:tab w:val="left" w:pos="2268"/>
        </w:tabs>
        <w:spacing w:line="36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 Zasada uczciwej konkurencji ma szczególne znaczenie przy ustalaniu określonych w specyfikacji istotnych warunków zamówienia, przedmiotu i warunków zamówienia. Powinny być one sprecyzowane przez zamawiającego w taki sposób, który nie eliminuje z góry pewnego kręgu podmiotów ubiegających się o zamówienie publiczne, tzn. powinny być obiektywne, </w:t>
      </w:r>
      <w:proofErr w:type="spellStart"/>
      <w:r>
        <w:rPr>
          <w:rFonts w:ascii="Tahoma" w:hAnsi="Tahoma" w:cs="Tahoma"/>
          <w:b/>
          <w:sz w:val="20"/>
          <w:szCs w:val="20"/>
        </w:rPr>
        <w:t>niedyskryminacyjne</w:t>
      </w:r>
      <w:proofErr w:type="spellEnd"/>
      <w:r>
        <w:rPr>
          <w:rFonts w:ascii="Tahoma" w:hAnsi="Tahoma" w:cs="Tahoma"/>
          <w:b/>
          <w:sz w:val="20"/>
          <w:szCs w:val="20"/>
        </w:rPr>
        <w:t>, nie ograniczające konkurencji.</w:t>
      </w:r>
      <w:r>
        <w:rPr>
          <w:rFonts w:ascii="Tahoma" w:hAnsi="Tahoma" w:cs="Tahoma"/>
          <w:b/>
          <w:sz w:val="20"/>
          <w:szCs w:val="20"/>
          <w:vertAlign w:val="superscript"/>
        </w:rPr>
        <w:t>.</w:t>
      </w:r>
    </w:p>
    <w:p w:rsidR="00F43089" w:rsidRDefault="00F43089" w:rsidP="00F43089">
      <w:pPr>
        <w:tabs>
          <w:tab w:val="left" w:pos="2268"/>
        </w:tabs>
        <w:spacing w:line="36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 Artykuł 17 </w:t>
      </w:r>
      <w:proofErr w:type="spellStart"/>
      <w:r>
        <w:rPr>
          <w:rFonts w:ascii="Tahoma" w:hAnsi="Tahoma" w:cs="Tahoma"/>
          <w:b/>
          <w:sz w:val="20"/>
          <w:szCs w:val="20"/>
        </w:rPr>
        <w:t>p.z.p</w:t>
      </w:r>
      <w:proofErr w:type="spellEnd"/>
      <w:r>
        <w:rPr>
          <w:rFonts w:ascii="Tahoma" w:hAnsi="Tahoma" w:cs="Tahoma"/>
          <w:b/>
          <w:sz w:val="20"/>
          <w:szCs w:val="20"/>
        </w:rPr>
        <w:t>. „nakazuje w poszukiwaniu najkorzystniejszej oferty zachowanie warunków uczciwej konkurencji poprzez określenie przedmiotu zamówienia za pomocą obiektywnych cech technicznych i jakościowych. Przestrzeganie tych zasad ma chronić zarazem interes Zamawiającego, jak i optymalne wykorzystanie środków publicznych. Jednocześnie przepis art. 17 ust. 2 zakazuje takiego określenia przedmiotu zamówienia, który, utrudniając uczciwą konkurencję, wiedzie do niekorzystnych z punktu widzenia celów zamówienia publicznego rozstrzygnięć" (wyrok Zespołu Arbitrów UZP z dnia 4 kwietnia 2003 r., UZP/ZO/0-348/03, ZPO 2003, nr 2, poz. 10).</w:t>
      </w:r>
    </w:p>
    <w:p w:rsidR="00F43089" w:rsidRDefault="00F43089" w:rsidP="00F43089">
      <w:pPr>
        <w:tabs>
          <w:tab w:val="left" w:pos="2268"/>
        </w:tabs>
        <w:spacing w:line="36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 Zgodnie z art. 3 ustawy z dnia 16 kwietnia 1993 r. o zwalczaniu nieuczciwej konkurencji (Dz. U. z 2003 r. Nr 153, poz. 1503 z </w:t>
      </w:r>
      <w:proofErr w:type="spellStart"/>
      <w:r>
        <w:rPr>
          <w:rFonts w:ascii="Tahoma" w:hAnsi="Tahoma" w:cs="Tahoma"/>
          <w:b/>
          <w:sz w:val="20"/>
          <w:szCs w:val="20"/>
        </w:rPr>
        <w:t>późn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. zm.) </w:t>
      </w:r>
      <w:r>
        <w:rPr>
          <w:rFonts w:ascii="Tahoma" w:hAnsi="Tahoma" w:cs="Tahoma"/>
          <w:b/>
          <w:bCs/>
          <w:sz w:val="20"/>
          <w:szCs w:val="20"/>
        </w:rPr>
        <w:t>czynem nieuczciwej konkurencji</w:t>
      </w:r>
      <w:r>
        <w:rPr>
          <w:rFonts w:ascii="Tahoma" w:hAnsi="Tahoma" w:cs="Tahoma"/>
          <w:b/>
          <w:sz w:val="20"/>
          <w:szCs w:val="20"/>
        </w:rPr>
        <w:t xml:space="preserve"> jest działanie sprzeczne z prawem lub dobrymi obyczajami, jeżeli zagraża lub narusza interes innego przedsiębiorcy lub klienta. </w:t>
      </w:r>
    </w:p>
    <w:p w:rsidR="00F43089" w:rsidRDefault="00F43089" w:rsidP="00F43089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Charakter klauzuli generalnej tego przepisu daje podstawę do kwalifikowania jako czynów nieuczciwej konkurencji także innych zachowań niż wyliczone w ustawowej definicji, jeżeli odpowiadają one określonym w ogólny sposób kryteriom</w:t>
      </w:r>
    </w:p>
    <w:p w:rsidR="00F43089" w:rsidRDefault="00F43089" w:rsidP="00F43089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Pojęciem uczciwej konkurencji posługują się również inne przepisy, m.in. ustawa z dnia 16 lutego 2007 r. o ochronie konkurencji i konsumentów (Dz. U. Nr 50, poz. 331 z </w:t>
      </w:r>
      <w:proofErr w:type="spellStart"/>
      <w:r>
        <w:rPr>
          <w:rFonts w:ascii="Tahoma" w:hAnsi="Tahoma" w:cs="Tahoma"/>
          <w:b/>
          <w:sz w:val="20"/>
          <w:szCs w:val="20"/>
        </w:rPr>
        <w:t>późn</w:t>
      </w:r>
      <w:proofErr w:type="spellEnd"/>
      <w:r>
        <w:rPr>
          <w:rFonts w:ascii="Tahoma" w:hAnsi="Tahoma" w:cs="Tahoma"/>
          <w:b/>
          <w:sz w:val="20"/>
          <w:szCs w:val="20"/>
        </w:rPr>
        <w:t>. zm.).</w:t>
      </w:r>
    </w:p>
    <w:p w:rsidR="001E0C71" w:rsidRDefault="001E0C71"/>
    <w:sectPr w:rsidR="001E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33B6"/>
    <w:multiLevelType w:val="hybridMultilevel"/>
    <w:tmpl w:val="F6A6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3089"/>
    <w:rsid w:val="001E0C71"/>
    <w:rsid w:val="00F4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4308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3089"/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F4308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5550</Characters>
  <Application>Microsoft Office Word</Application>
  <DocSecurity>0</DocSecurity>
  <Lines>46</Lines>
  <Paragraphs>12</Paragraphs>
  <ScaleCrop>false</ScaleCrop>
  <Company>Your Company Name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2015-07-15T08:18:00Z</dcterms:created>
  <dcterms:modified xsi:type="dcterms:W3CDTF">2015-07-15T08:18:00Z</dcterms:modified>
</cp:coreProperties>
</file>